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7E35" w14:textId="2373AAFA" w:rsidR="00775429" w:rsidRPr="001C6582" w:rsidRDefault="00775429" w:rsidP="001D11B3">
      <w:pPr>
        <w:pStyle w:val="Domicil"/>
      </w:pPr>
      <w:r w:rsidRPr="001C6582">
        <w:t xml:space="preserve">Olomouc </w:t>
      </w:r>
      <w:r w:rsidR="00F24036">
        <w:t>8</w:t>
      </w:r>
      <w:r w:rsidRPr="001C6582">
        <w:t xml:space="preserve">. </w:t>
      </w:r>
      <w:r w:rsidR="00B842F2">
        <w:t>prosince</w:t>
      </w:r>
      <w:r w:rsidRPr="001C6582">
        <w:t xml:space="preserve"> </w:t>
      </w:r>
      <w:r w:rsidR="004E66E0">
        <w:t>2023</w:t>
      </w:r>
    </w:p>
    <w:p w14:paraId="25520A6C" w14:textId="4F8A3C2B" w:rsidR="00134588" w:rsidRPr="00134588" w:rsidRDefault="00134588" w:rsidP="00134588">
      <w:pPr>
        <w:pStyle w:val="Nzev"/>
        <w:rPr>
          <w:b/>
          <w:bCs/>
        </w:rPr>
      </w:pPr>
      <w:r w:rsidRPr="00134588">
        <w:rPr>
          <w:b/>
          <w:bCs/>
        </w:rPr>
        <w:t xml:space="preserve">Spojení filharmonie a divadla v Olomouci: Moravská filharmonie předala radnici požadavky </w:t>
      </w:r>
      <w:r w:rsidR="00063C7C">
        <w:rPr>
          <w:b/>
          <w:bCs/>
        </w:rPr>
        <w:t>v případě</w:t>
      </w:r>
      <w:r w:rsidRPr="00134588">
        <w:rPr>
          <w:b/>
          <w:bCs/>
        </w:rPr>
        <w:t xml:space="preserve"> procesu transformace</w:t>
      </w:r>
    </w:p>
    <w:p w14:paraId="3A18A35B" w14:textId="1AE2C3E0" w:rsidR="00114193" w:rsidRDefault="00F4383E" w:rsidP="00114193">
      <w:pPr>
        <w:pStyle w:val="Perex"/>
      </w:pPr>
      <w:r w:rsidRPr="00F4383E">
        <w:t xml:space="preserve">Z listopadového zasedání Rady města Olomouce jednoznačně vyplynulo, že stávající koalice prosazuje úpravu organizační struktury Moravské filharmonie Olomouc a Moravského divadla Olomouc a jejich </w:t>
      </w:r>
      <w:r w:rsidR="00100276">
        <w:t>spojení</w:t>
      </w:r>
      <w:r w:rsidR="00100276" w:rsidRPr="00F4383E">
        <w:t xml:space="preserve"> </w:t>
      </w:r>
      <w:r w:rsidRPr="00F4383E">
        <w:t xml:space="preserve">do jedné instituce. Zdali k tomu opravdu dojde, však rozhodnou až olomoučtí zastupitelé za necelé dva týdny. Prioritou </w:t>
      </w:r>
      <w:r w:rsidR="00855023">
        <w:t xml:space="preserve">ředitele </w:t>
      </w:r>
      <w:r w:rsidRPr="00F4383E">
        <w:t>Moravské filharmonie Olomouc zůstává udržení a zachování umělecké autonomie i značky.</w:t>
      </w:r>
    </w:p>
    <w:p w14:paraId="751DEA08" w14:textId="414CA3D7" w:rsidR="00EE051C" w:rsidRPr="00EE051C" w:rsidRDefault="00EE051C" w:rsidP="00EE051C">
      <w:pPr>
        <w:pStyle w:val="Perex"/>
        <w:rPr>
          <w:b w:val="0"/>
          <w:bCs/>
        </w:rPr>
      </w:pPr>
      <w:r w:rsidRPr="00EE051C">
        <w:rPr>
          <w:b w:val="0"/>
          <w:bCs/>
        </w:rPr>
        <w:t xml:space="preserve">Analýza, kterou si nechali radní zpracovat od renomované agentury, doporučuje </w:t>
      </w:r>
      <w:r w:rsidR="00100276">
        <w:rPr>
          <w:b w:val="0"/>
          <w:bCs/>
        </w:rPr>
        <w:t>spojení</w:t>
      </w:r>
      <w:r w:rsidR="00100276" w:rsidRPr="00EE051C">
        <w:rPr>
          <w:b w:val="0"/>
          <w:bCs/>
        </w:rPr>
        <w:t xml:space="preserve"> </w:t>
      </w:r>
      <w:r w:rsidRPr="00EE051C">
        <w:rPr>
          <w:b w:val="0"/>
          <w:bCs/>
        </w:rPr>
        <w:t>Moravské filharmonie Olomouc (MFO) a Moravského divadla Olomouc pod jeden nově vzniklý subjekt při</w:t>
      </w:r>
      <w:r w:rsidR="00F36257">
        <w:rPr>
          <w:b w:val="0"/>
          <w:bCs/>
        </w:rPr>
        <w:t> </w:t>
      </w:r>
      <w:r w:rsidR="00F55FC7">
        <w:rPr>
          <w:b w:val="0"/>
          <w:bCs/>
        </w:rPr>
        <w:t>vnitřní existenci</w:t>
      </w:r>
      <w:r w:rsidRPr="00EE051C">
        <w:rPr>
          <w:b w:val="0"/>
          <w:bCs/>
        </w:rPr>
        <w:t xml:space="preserve"> </w:t>
      </w:r>
      <w:r w:rsidR="00F55FC7">
        <w:rPr>
          <w:b w:val="0"/>
          <w:bCs/>
        </w:rPr>
        <w:t>dvou</w:t>
      </w:r>
      <w:r w:rsidRPr="00EE051C">
        <w:rPr>
          <w:b w:val="0"/>
          <w:bCs/>
        </w:rPr>
        <w:t xml:space="preserve"> orchestrů. Konkrétní podoba kroků, nezbytných pro tento úkon, analýza neobsahuje, má je ve spolupráci s radnicí navrhnout a realizovat v budoucnu jmenovaný manažer. Otázky, které ve vztahu k tomuto záměru současná situace vyvolává, řešili zástupci Moravské filharmonie v čele s ředitelem Jonášem </w:t>
      </w:r>
      <w:proofErr w:type="spellStart"/>
      <w:r w:rsidRPr="00EE051C">
        <w:rPr>
          <w:b w:val="0"/>
          <w:bCs/>
        </w:rPr>
        <w:t>Harmanem</w:t>
      </w:r>
      <w:proofErr w:type="spellEnd"/>
      <w:r w:rsidRPr="00EE051C">
        <w:rPr>
          <w:b w:val="0"/>
          <w:bCs/>
        </w:rPr>
        <w:t xml:space="preserve"> přímo s náměstkem primátora Viktorem Tichákem. </w:t>
      </w:r>
      <w:r w:rsidRPr="00EE051C">
        <w:rPr>
          <w:b w:val="0"/>
          <w:bCs/>
          <w:i/>
          <w:iCs/>
        </w:rPr>
        <w:t>„Spolu se zástupci zaměstnanců MFO jsem panu náměstkovi předal souhrn požadavků, které by tento případný proces měl zahrnovat. Pokud by nastala tolik diskutovaná transformace, je</w:t>
      </w:r>
      <w:r w:rsidR="00B673C4">
        <w:rPr>
          <w:b w:val="0"/>
          <w:bCs/>
          <w:i/>
          <w:iCs/>
        </w:rPr>
        <w:t> </w:t>
      </w:r>
      <w:r w:rsidRPr="00EE051C">
        <w:rPr>
          <w:b w:val="0"/>
          <w:bCs/>
          <w:i/>
          <w:iCs/>
        </w:rPr>
        <w:t>pro nás zcela zásadní body naplnit, aby byla zachována umělecká autonomie MFO i svébytnost její značky</w:t>
      </w:r>
      <w:r w:rsidR="00063C7C">
        <w:rPr>
          <w:b w:val="0"/>
          <w:bCs/>
          <w:i/>
          <w:iCs/>
        </w:rPr>
        <w:t>,</w:t>
      </w:r>
      <w:r w:rsidRPr="00EE051C">
        <w:rPr>
          <w:b w:val="0"/>
          <w:bCs/>
          <w:i/>
          <w:iCs/>
        </w:rPr>
        <w:t xml:space="preserve"> a aby se eliminovala rizika, která i samotná analýza v doporučovaném budoucím modelu fungování identifikuje</w:t>
      </w:r>
      <w:r w:rsidR="00100276">
        <w:rPr>
          <w:b w:val="0"/>
          <w:bCs/>
          <w:i/>
          <w:iCs/>
        </w:rPr>
        <w:t>,</w:t>
      </w:r>
      <w:r w:rsidRPr="00EE051C">
        <w:rPr>
          <w:b w:val="0"/>
          <w:bCs/>
          <w:i/>
          <w:iCs/>
        </w:rPr>
        <w:t>”</w:t>
      </w:r>
      <w:r w:rsidRPr="00EE051C">
        <w:rPr>
          <w:b w:val="0"/>
          <w:bCs/>
        </w:rPr>
        <w:t xml:space="preserve"> říká ředitel MFO Jonáš Harman.</w:t>
      </w:r>
    </w:p>
    <w:p w14:paraId="2977D707" w14:textId="77777777" w:rsidR="00EE051C" w:rsidRPr="00EE051C" w:rsidRDefault="00EE051C" w:rsidP="00EE051C">
      <w:pPr>
        <w:pStyle w:val="Perex"/>
      </w:pPr>
      <w:r w:rsidRPr="00EE051C">
        <w:t>Vznik nového subjektu, transparentní komunikace i výběrová řízení a ukotvení přínosů, které analýza identifikuje</w:t>
      </w:r>
    </w:p>
    <w:p w14:paraId="52DC772D" w14:textId="7EE8248C" w:rsidR="00EE051C" w:rsidRPr="00EE051C" w:rsidRDefault="00EE051C" w:rsidP="00EE051C">
      <w:pPr>
        <w:pStyle w:val="Perex"/>
        <w:rPr>
          <w:b w:val="0"/>
          <w:bCs/>
        </w:rPr>
      </w:pPr>
      <w:r w:rsidRPr="00EE051C">
        <w:rPr>
          <w:b w:val="0"/>
          <w:bCs/>
        </w:rPr>
        <w:t>Předložené požadavky staví především na otázkách a identifikovaných rizicích, které v navrhovaném modelu zůstávají otevřeny.</w:t>
      </w:r>
      <w:r w:rsidR="001E3018">
        <w:rPr>
          <w:b w:val="0"/>
          <w:bCs/>
        </w:rPr>
        <w:t xml:space="preserve"> </w:t>
      </w:r>
      <w:r w:rsidRPr="00EE051C">
        <w:rPr>
          <w:b w:val="0"/>
          <w:bCs/>
        </w:rPr>
        <w:t>Doposud není například známo, zda by došlo k fúzi sloučením nebo splynutím. Tyto rozdílné přístupy</w:t>
      </w:r>
      <w:r w:rsidR="00CC1381">
        <w:rPr>
          <w:b w:val="0"/>
          <w:bCs/>
        </w:rPr>
        <w:t xml:space="preserve"> jsou zásadní</w:t>
      </w:r>
      <w:r w:rsidRPr="00EE051C">
        <w:rPr>
          <w:b w:val="0"/>
          <w:bCs/>
        </w:rPr>
        <w:t xml:space="preserve"> pro samotný proces, kdy při sloučení pokračuje </w:t>
      </w:r>
      <w:r w:rsidR="00F55FC7">
        <w:rPr>
          <w:b w:val="0"/>
          <w:bCs/>
        </w:rPr>
        <w:t xml:space="preserve">jedna z </w:t>
      </w:r>
      <w:r w:rsidRPr="00EE051C">
        <w:rPr>
          <w:b w:val="0"/>
          <w:bCs/>
        </w:rPr>
        <w:t>organizac</w:t>
      </w:r>
      <w:r w:rsidR="00F55FC7">
        <w:rPr>
          <w:b w:val="0"/>
          <w:bCs/>
        </w:rPr>
        <w:t>í</w:t>
      </w:r>
      <w:r w:rsidRPr="00EE051C">
        <w:rPr>
          <w:b w:val="0"/>
          <w:bCs/>
        </w:rPr>
        <w:t xml:space="preserve"> ve své existenci jako společnost nástupnická, zatímco při splynutí dochází ke vzniku zcela nového subjektu.</w:t>
      </w:r>
    </w:p>
    <w:p w14:paraId="6ED4D056" w14:textId="050AB746" w:rsidR="00EE051C" w:rsidRPr="00EE051C" w:rsidRDefault="00EE051C" w:rsidP="00EE051C">
      <w:pPr>
        <w:pStyle w:val="Perex"/>
        <w:rPr>
          <w:b w:val="0"/>
          <w:bCs/>
        </w:rPr>
      </w:pPr>
      <w:r w:rsidRPr="00EE051C">
        <w:rPr>
          <w:b w:val="0"/>
          <w:bCs/>
        </w:rPr>
        <w:t>Otázky vyvoláv</w:t>
      </w:r>
      <w:r w:rsidR="00F55FC7">
        <w:rPr>
          <w:b w:val="0"/>
          <w:bCs/>
        </w:rPr>
        <w:t>ají</w:t>
      </w:r>
      <w:r w:rsidRPr="00EE051C">
        <w:rPr>
          <w:b w:val="0"/>
          <w:bCs/>
        </w:rPr>
        <w:t xml:space="preserve"> také </w:t>
      </w:r>
      <w:r w:rsidR="00F55FC7">
        <w:rPr>
          <w:b w:val="0"/>
          <w:bCs/>
        </w:rPr>
        <w:t xml:space="preserve">organizační a </w:t>
      </w:r>
      <w:r w:rsidRPr="00EE051C">
        <w:rPr>
          <w:b w:val="0"/>
          <w:bCs/>
        </w:rPr>
        <w:t xml:space="preserve">personální </w:t>
      </w:r>
      <w:r w:rsidR="00F55FC7">
        <w:rPr>
          <w:b w:val="0"/>
          <w:bCs/>
        </w:rPr>
        <w:t>změny</w:t>
      </w:r>
      <w:r w:rsidRPr="00EE051C">
        <w:rPr>
          <w:b w:val="0"/>
          <w:bCs/>
        </w:rPr>
        <w:t>. Všechny strany se na jednání shodly, že</w:t>
      </w:r>
      <w:r w:rsidR="00F55FC7">
        <w:rPr>
          <w:b w:val="0"/>
          <w:bCs/>
        </w:rPr>
        <w:t> </w:t>
      </w:r>
      <w:r w:rsidRPr="00EE051C">
        <w:rPr>
          <w:b w:val="0"/>
          <w:bCs/>
        </w:rPr>
        <w:t>v</w:t>
      </w:r>
      <w:r w:rsidR="00F55FC7">
        <w:rPr>
          <w:b w:val="0"/>
          <w:bCs/>
        </w:rPr>
        <w:t> </w:t>
      </w:r>
      <w:r w:rsidRPr="00EE051C">
        <w:rPr>
          <w:b w:val="0"/>
          <w:bCs/>
        </w:rPr>
        <w:t xml:space="preserve">případě organizačních změn, kdy podle prognózy v analýze by mělo dojít na </w:t>
      </w:r>
      <w:r w:rsidR="00063C7C">
        <w:rPr>
          <w:b w:val="0"/>
          <w:bCs/>
        </w:rPr>
        <w:t xml:space="preserve">20% </w:t>
      </w:r>
      <w:r w:rsidRPr="00EE051C">
        <w:rPr>
          <w:b w:val="0"/>
          <w:bCs/>
        </w:rPr>
        <w:t>redukci</w:t>
      </w:r>
      <w:r w:rsidR="00F55FC7">
        <w:rPr>
          <w:b w:val="0"/>
          <w:bCs/>
        </w:rPr>
        <w:t xml:space="preserve"> </w:t>
      </w:r>
      <w:r w:rsidRPr="00EE051C">
        <w:rPr>
          <w:b w:val="0"/>
          <w:bCs/>
        </w:rPr>
        <w:t xml:space="preserve">zaměstnanců v orchestrech, bude potřeba postupovat se zřetelem na maximální </w:t>
      </w:r>
      <w:r w:rsidR="001E3018">
        <w:rPr>
          <w:b w:val="0"/>
          <w:bCs/>
        </w:rPr>
        <w:t>m</w:t>
      </w:r>
      <w:r w:rsidRPr="00EE051C">
        <w:rPr>
          <w:b w:val="0"/>
          <w:bCs/>
        </w:rPr>
        <w:t xml:space="preserve">ožný sociální smír a rovný přístup. V otázce výběru budoucího ředitele </w:t>
      </w:r>
      <w:r w:rsidR="00855023">
        <w:rPr>
          <w:b w:val="0"/>
          <w:bCs/>
        </w:rPr>
        <w:t>a</w:t>
      </w:r>
      <w:r w:rsidRPr="00EE051C">
        <w:rPr>
          <w:b w:val="0"/>
          <w:bCs/>
        </w:rPr>
        <w:t xml:space="preserve"> </w:t>
      </w:r>
      <w:r w:rsidR="00855023">
        <w:rPr>
          <w:b w:val="0"/>
          <w:bCs/>
        </w:rPr>
        <w:t xml:space="preserve">případně i </w:t>
      </w:r>
      <w:r w:rsidRPr="00EE051C">
        <w:rPr>
          <w:b w:val="0"/>
          <w:bCs/>
        </w:rPr>
        <w:t xml:space="preserve">hudebního šéfa orchestrů pro novou instituci padla shoda </w:t>
      </w:r>
      <w:r w:rsidR="00100276">
        <w:rPr>
          <w:b w:val="0"/>
          <w:bCs/>
        </w:rPr>
        <w:t>na</w:t>
      </w:r>
      <w:r w:rsidRPr="00EE051C">
        <w:rPr>
          <w:b w:val="0"/>
          <w:bCs/>
        </w:rPr>
        <w:t xml:space="preserve"> otevřeném, transparentním a patřičně promovaném (medializovaném) výběrové</w:t>
      </w:r>
      <w:r w:rsidR="00100276">
        <w:rPr>
          <w:b w:val="0"/>
          <w:bCs/>
        </w:rPr>
        <w:t>m</w:t>
      </w:r>
      <w:r w:rsidRPr="00EE051C">
        <w:rPr>
          <w:b w:val="0"/>
          <w:bCs/>
        </w:rPr>
        <w:t xml:space="preserve"> řízení.</w:t>
      </w:r>
    </w:p>
    <w:p w14:paraId="1D3515B8" w14:textId="02398759" w:rsidR="00EE051C" w:rsidRDefault="00EE051C" w:rsidP="00EE051C">
      <w:pPr>
        <w:pStyle w:val="Perex"/>
        <w:rPr>
          <w:b w:val="0"/>
          <w:bCs/>
        </w:rPr>
      </w:pPr>
      <w:r w:rsidRPr="00EE051C">
        <w:rPr>
          <w:b w:val="0"/>
          <w:bCs/>
        </w:rPr>
        <w:t>Dalšími podněty, které staví na prognóze analýzy o budoucím stavu a silných stránkách spojené organizace, je požadavek na zpracování jasného a transparentního systému motivačního odměňování zaměstnanců</w:t>
      </w:r>
      <w:r w:rsidR="00063C7C">
        <w:rPr>
          <w:b w:val="0"/>
          <w:bCs/>
        </w:rPr>
        <w:t>.</w:t>
      </w:r>
      <w:r w:rsidRPr="00EE051C">
        <w:rPr>
          <w:b w:val="0"/>
          <w:bCs/>
        </w:rPr>
        <w:t xml:space="preserve"> </w:t>
      </w:r>
      <w:r w:rsidR="00063C7C">
        <w:rPr>
          <w:b w:val="0"/>
          <w:bCs/>
        </w:rPr>
        <w:t>Systém by měl být</w:t>
      </w:r>
      <w:r w:rsidRPr="00EE051C">
        <w:rPr>
          <w:b w:val="0"/>
          <w:bCs/>
        </w:rPr>
        <w:t xml:space="preserve"> patřičně progresivní zejména v návaznosti na výkon a kvalitativní rovinu práce zaměstnanců. Nezbytný by byl také vznik dlouhodobého plánu investic s garantovaným a adekvátním podílem zřizovatele a jejich skutečná realizace, a to zejména do zázemí a technickém vybavení Reduty a obnovy hudebních nástrojů.</w:t>
      </w:r>
    </w:p>
    <w:p w14:paraId="1FBF218D" w14:textId="77777777" w:rsidR="00F36257" w:rsidRPr="00EE051C" w:rsidRDefault="00F36257" w:rsidP="00EE051C">
      <w:pPr>
        <w:pStyle w:val="Perex"/>
        <w:rPr>
          <w:b w:val="0"/>
          <w:bCs/>
        </w:rPr>
      </w:pPr>
    </w:p>
    <w:p w14:paraId="205A7245" w14:textId="2BCDDE7F" w:rsidR="00EE051C" w:rsidRPr="00EE051C" w:rsidRDefault="00EE051C" w:rsidP="00EE051C">
      <w:pPr>
        <w:pStyle w:val="Perex"/>
      </w:pPr>
      <w:r w:rsidRPr="00EE051C">
        <w:lastRenderedPageBreak/>
        <w:t>Garance autonomie filharmonie</w:t>
      </w:r>
    </w:p>
    <w:p w14:paraId="1A603C34" w14:textId="43F64672" w:rsidR="00EE051C" w:rsidRPr="00EE051C" w:rsidRDefault="00EE051C" w:rsidP="00EE051C">
      <w:pPr>
        <w:pStyle w:val="Perex"/>
        <w:rPr>
          <w:b w:val="0"/>
          <w:bCs/>
        </w:rPr>
      </w:pPr>
      <w:r w:rsidRPr="00EE051C">
        <w:rPr>
          <w:b w:val="0"/>
          <w:bCs/>
        </w:rPr>
        <w:t>Pro Harmana je zachování značky Moravské filharmonie Olomouc nepřekročitelná podmínka k</w:t>
      </w:r>
      <w:r w:rsidR="00F36257">
        <w:rPr>
          <w:b w:val="0"/>
          <w:bCs/>
        </w:rPr>
        <w:t> </w:t>
      </w:r>
      <w:r w:rsidRPr="00EE051C">
        <w:rPr>
          <w:b w:val="0"/>
          <w:bCs/>
        </w:rPr>
        <w:t xml:space="preserve">tomu, aby případné </w:t>
      </w:r>
      <w:r w:rsidR="00E32C56">
        <w:rPr>
          <w:b w:val="0"/>
          <w:bCs/>
        </w:rPr>
        <w:t>spojení</w:t>
      </w:r>
      <w:r w:rsidRPr="00EE051C">
        <w:rPr>
          <w:b w:val="0"/>
          <w:bCs/>
        </w:rPr>
        <w:t xml:space="preserve"> neznamenalo </w:t>
      </w:r>
      <w:r w:rsidR="00100276">
        <w:rPr>
          <w:b w:val="0"/>
          <w:bCs/>
        </w:rPr>
        <w:t>konec</w:t>
      </w:r>
      <w:r w:rsidR="00100276" w:rsidRPr="00EE051C">
        <w:rPr>
          <w:b w:val="0"/>
          <w:bCs/>
        </w:rPr>
        <w:t xml:space="preserve"> </w:t>
      </w:r>
      <w:r w:rsidRPr="00EE051C">
        <w:rPr>
          <w:b w:val="0"/>
          <w:bCs/>
        </w:rPr>
        <w:t xml:space="preserve">bezmála osmdesátileté historie druhé nejstarší filharmonie u nás. </w:t>
      </w:r>
      <w:r w:rsidRPr="00EE051C">
        <w:rPr>
          <w:b w:val="0"/>
          <w:bCs/>
          <w:i/>
          <w:iCs/>
        </w:rPr>
        <w:t>„Svébytná značka a samostatné umělecké složky musí být zakotveny v zakládacím dokumentu případné nové organizace. Se zástupci zaměstnanců i zřizovatelem se shodujeme na</w:t>
      </w:r>
      <w:r w:rsidR="00F36257">
        <w:rPr>
          <w:b w:val="0"/>
          <w:bCs/>
          <w:i/>
          <w:iCs/>
        </w:rPr>
        <w:t> </w:t>
      </w:r>
      <w:r w:rsidRPr="00EE051C">
        <w:rPr>
          <w:b w:val="0"/>
          <w:bCs/>
          <w:i/>
          <w:iCs/>
        </w:rPr>
        <w:t xml:space="preserve">zřízení a pevném ukotvení </w:t>
      </w:r>
      <w:r w:rsidR="00100276">
        <w:rPr>
          <w:b w:val="0"/>
          <w:bCs/>
          <w:i/>
          <w:iCs/>
        </w:rPr>
        <w:t>g</w:t>
      </w:r>
      <w:r w:rsidR="00100276" w:rsidRPr="00EE051C">
        <w:rPr>
          <w:b w:val="0"/>
          <w:bCs/>
          <w:i/>
          <w:iCs/>
        </w:rPr>
        <w:t xml:space="preserve">aranční </w:t>
      </w:r>
      <w:r w:rsidRPr="00EE051C">
        <w:rPr>
          <w:b w:val="0"/>
          <w:bCs/>
          <w:i/>
          <w:iCs/>
        </w:rPr>
        <w:t>rady v organizačním schématu nové instituce s uměleckým zastoupením MFO za účelem vyvážené proporcionality dramaturgie a působení uměleckých složek instituce</w:t>
      </w:r>
      <w:r w:rsidR="00100276">
        <w:rPr>
          <w:b w:val="0"/>
          <w:bCs/>
          <w:i/>
          <w:iCs/>
        </w:rPr>
        <w:t>,</w:t>
      </w:r>
      <w:r w:rsidRPr="00EE051C">
        <w:rPr>
          <w:b w:val="0"/>
          <w:bCs/>
          <w:i/>
          <w:iCs/>
        </w:rPr>
        <w:t>”</w:t>
      </w:r>
      <w:r w:rsidRPr="00EE051C">
        <w:rPr>
          <w:b w:val="0"/>
          <w:bCs/>
        </w:rPr>
        <w:t xml:space="preserve"> dodává Harman.</w:t>
      </w:r>
    </w:p>
    <w:p w14:paraId="57B6AD14" w14:textId="39AA4D34" w:rsidR="00000ACA" w:rsidRDefault="00EE051C" w:rsidP="00EE051C">
      <w:pPr>
        <w:pStyle w:val="Perex"/>
        <w:rPr>
          <w:b w:val="0"/>
          <w:bCs/>
        </w:rPr>
      </w:pPr>
      <w:r w:rsidRPr="00EE051C">
        <w:rPr>
          <w:b w:val="0"/>
          <w:bCs/>
        </w:rPr>
        <w:t>Náměstek Tichák podněty přijal. Zda se stanou pro další postup relevantní</w:t>
      </w:r>
      <w:r w:rsidR="00100276">
        <w:rPr>
          <w:b w:val="0"/>
          <w:bCs/>
        </w:rPr>
        <w:t>,</w:t>
      </w:r>
      <w:r w:rsidRPr="00EE051C">
        <w:rPr>
          <w:b w:val="0"/>
          <w:bCs/>
        </w:rPr>
        <w:t xml:space="preserve"> ukáže jednání zastupitelstva 15. prosince, kde dojde k hlasování o dalším postupu ve spojení Moravské filharmonie Olomouc a Moravského divadla Olomouc.</w:t>
      </w:r>
    </w:p>
    <w:p w14:paraId="002629D8" w14:textId="704F7006" w:rsidR="00A62B4D" w:rsidRPr="001C6582" w:rsidRDefault="00000000" w:rsidP="007D3869">
      <w:pPr>
        <w:rPr>
          <w:rStyle w:val="Zvraznnhypertextovodkaz"/>
        </w:rPr>
      </w:pPr>
      <w:hyperlink r:id="rId8" w:history="1">
        <w:proofErr w:type="spellStart"/>
        <w:r w:rsidR="007D3869" w:rsidRPr="003337C2">
          <w:rPr>
            <w:rStyle w:val="Hypertextovodkaz"/>
          </w:rPr>
          <w:t>Presskit</w:t>
        </w:r>
        <w:proofErr w:type="spellEnd"/>
        <w:r w:rsidR="009E0E0B">
          <w:rPr>
            <w:rStyle w:val="Hypertextovodkaz"/>
          </w:rPr>
          <w:t xml:space="preserve"> MFO</w:t>
        </w:r>
        <w:r w:rsidR="007D3869" w:rsidRPr="003337C2">
          <w:rPr>
            <w:rStyle w:val="Hypertextovodkaz"/>
          </w:rPr>
          <w:t xml:space="preserve"> ke stažení</w:t>
        </w:r>
      </w:hyperlink>
    </w:p>
    <w:p w14:paraId="5B439BBB" w14:textId="4E87E04E" w:rsidR="00DE01F9" w:rsidRPr="001C6582" w:rsidRDefault="007D3869" w:rsidP="007D3869">
      <w:pPr>
        <w:pStyle w:val="Doplujcinformace"/>
        <w:rPr>
          <w:rStyle w:val="Doplujchypertextovodkaz"/>
        </w:rPr>
      </w:pPr>
      <w:r w:rsidRPr="001C6582">
        <w:rPr>
          <w:i/>
          <w:iCs/>
        </w:rPr>
        <w:t xml:space="preserve">V případě nefunkčního odkazu zadejte do vyhledávače URL </w:t>
      </w:r>
      <w:r w:rsidRPr="001C6582">
        <w:rPr>
          <w:i/>
          <w:iCs/>
        </w:rPr>
        <w:br/>
      </w:r>
      <w:r w:rsidR="00EF2652" w:rsidRPr="00EF2652">
        <w:rPr>
          <w:rStyle w:val="Doplujchypertextovodkaz"/>
        </w:rPr>
        <w:t>https://www.mfo.cz/promedia/</w:t>
      </w:r>
    </w:p>
    <w:p w14:paraId="19CB6DEB" w14:textId="3951E1B3" w:rsidR="004838B5" w:rsidRPr="001C6582" w:rsidRDefault="007D3869" w:rsidP="007D3869">
      <w:pPr>
        <w:spacing w:before="600" w:after="135"/>
      </w:pPr>
      <w:r w:rsidRPr="001C6582">
        <w:t>Další informace poskytne:</w:t>
      </w:r>
      <w:r w:rsidRPr="001C6582">
        <w:br/>
      </w:r>
      <w:r w:rsidRPr="00966773">
        <w:rPr>
          <w:b/>
          <w:bCs/>
        </w:rPr>
        <w:t>J</w:t>
      </w:r>
      <w:r w:rsidR="00122354" w:rsidRPr="00966773">
        <w:rPr>
          <w:b/>
          <w:bCs/>
        </w:rPr>
        <w:t>onáš Harman</w:t>
      </w:r>
      <w:r w:rsidRPr="00966773">
        <w:rPr>
          <w:b/>
          <w:bCs/>
        </w:rPr>
        <w:br/>
      </w:r>
      <w:r w:rsidRPr="00966773">
        <w:t>T +420</w:t>
      </w:r>
      <w:r w:rsidR="00122354" w:rsidRPr="00966773">
        <w:t> 736 108</w:t>
      </w:r>
      <w:r w:rsidR="004838B5" w:rsidRPr="00966773">
        <w:t> </w:t>
      </w:r>
      <w:r w:rsidR="00122354" w:rsidRPr="00966773">
        <w:t>597</w:t>
      </w:r>
      <w:r w:rsidR="004838B5" w:rsidRPr="00966773">
        <w:br/>
        <w:t xml:space="preserve">E </w:t>
      </w:r>
      <w:hyperlink r:id="rId9" w:history="1">
        <w:r w:rsidR="004838B5" w:rsidRPr="00966773">
          <w:rPr>
            <w:rStyle w:val="Hypertextovodkaz"/>
          </w:rPr>
          <w:t>info@mfo.cz</w:t>
        </w:r>
      </w:hyperlink>
    </w:p>
    <w:p w14:paraId="085F1B3E" w14:textId="1156EDE5" w:rsidR="009B3306" w:rsidRPr="001C6582" w:rsidRDefault="00AC7893" w:rsidP="009B3306">
      <w:pPr>
        <w:pStyle w:val="Doplujcinformace"/>
        <w:spacing w:before="600"/>
      </w:pPr>
      <w:r>
        <w:rPr>
          <w:b/>
        </w:rPr>
        <w:t>M</w:t>
      </w:r>
      <w:r w:rsidR="007D3869" w:rsidRPr="001C6582">
        <w:rPr>
          <w:b/>
        </w:rPr>
        <w:t>oravská filharmonie Olomouc</w:t>
      </w:r>
      <w:r w:rsidR="009B3306">
        <w:t xml:space="preserve"> vznikla v roce 1945 a </w:t>
      </w:r>
      <w:proofErr w:type="gramStart"/>
      <w:r w:rsidR="003721A1">
        <w:t>p</w:t>
      </w:r>
      <w:r w:rsidR="007D3869" w:rsidRPr="001C6582">
        <w:t>atří</w:t>
      </w:r>
      <w:proofErr w:type="gramEnd"/>
      <w:r w:rsidR="007D3869" w:rsidRPr="001C6582">
        <w:t xml:space="preserve"> k předním a nejstarším symfonickým orchestrům v České republice. Na jejím uměleckém vývoji se podílely významné osobnosti české i světové hudební scény</w:t>
      </w:r>
      <w:r w:rsidR="008337D8">
        <w:t>,</w:t>
      </w:r>
      <w:r w:rsidR="009B3306" w:rsidRPr="009B3306">
        <w:rPr>
          <w:rFonts w:cstheme="minorHAnsi"/>
        </w:rPr>
        <w:t xml:space="preserve"> </w:t>
      </w:r>
      <w:r w:rsidR="009B3306">
        <w:rPr>
          <w:rFonts w:cstheme="minorHAnsi"/>
        </w:rPr>
        <w:t xml:space="preserve">mezi které </w:t>
      </w:r>
      <w:proofErr w:type="gramStart"/>
      <w:r w:rsidR="009B3306">
        <w:rPr>
          <w:rFonts w:cstheme="minorHAnsi"/>
        </w:rPr>
        <w:t>patří</w:t>
      </w:r>
      <w:proofErr w:type="gramEnd"/>
      <w:r w:rsidR="009B3306">
        <w:rPr>
          <w:rFonts w:cstheme="minorHAnsi"/>
        </w:rPr>
        <w:t xml:space="preserve"> např. </w:t>
      </w:r>
      <w:r w:rsidR="009B3306" w:rsidRPr="00B92FFC">
        <w:rPr>
          <w:rFonts w:cstheme="minorHAnsi"/>
        </w:rPr>
        <w:t>dirigent</w:t>
      </w:r>
      <w:r w:rsidR="009B3306">
        <w:rPr>
          <w:rFonts w:cstheme="minorHAnsi"/>
        </w:rPr>
        <w:t>i</w:t>
      </w:r>
      <w:r w:rsidR="009B3306" w:rsidRPr="00B92FFC">
        <w:rPr>
          <w:rFonts w:cstheme="minorHAnsi"/>
        </w:rPr>
        <w:t xml:space="preserve"> Otto </w:t>
      </w:r>
      <w:proofErr w:type="spellStart"/>
      <w:r w:rsidR="009B3306" w:rsidRPr="00B92FFC">
        <w:rPr>
          <w:rFonts w:cstheme="minorHAnsi"/>
        </w:rPr>
        <w:t>Klemperer</w:t>
      </w:r>
      <w:proofErr w:type="spellEnd"/>
      <w:r w:rsidR="009B3306" w:rsidRPr="00B92FFC">
        <w:rPr>
          <w:rFonts w:cstheme="minorHAnsi"/>
        </w:rPr>
        <w:t xml:space="preserve"> a Václav</w:t>
      </w:r>
      <w:r w:rsidR="009B3306">
        <w:rPr>
          <w:rFonts w:cstheme="minorHAnsi"/>
        </w:rPr>
        <w:t xml:space="preserve"> Neumann</w:t>
      </w:r>
      <w:r w:rsidR="009B3306" w:rsidRPr="00B92FFC">
        <w:rPr>
          <w:rFonts w:cstheme="minorHAnsi"/>
        </w:rPr>
        <w:t>, houslist</w:t>
      </w:r>
      <w:r w:rsidR="009B3306">
        <w:rPr>
          <w:rFonts w:cstheme="minorHAnsi"/>
        </w:rPr>
        <w:t>é</w:t>
      </w:r>
      <w:r w:rsidR="009B3306" w:rsidRPr="00B92FFC">
        <w:rPr>
          <w:rFonts w:cstheme="minorHAnsi"/>
        </w:rPr>
        <w:t xml:space="preserve"> Josef</w:t>
      </w:r>
      <w:r w:rsidR="009B3306">
        <w:rPr>
          <w:rFonts w:cstheme="minorHAnsi"/>
        </w:rPr>
        <w:t xml:space="preserve"> Suk</w:t>
      </w:r>
      <w:r w:rsidR="009B3306" w:rsidRPr="00B92FFC">
        <w:rPr>
          <w:rFonts w:cstheme="minorHAnsi"/>
        </w:rPr>
        <w:t xml:space="preserve"> a </w:t>
      </w:r>
      <w:proofErr w:type="spellStart"/>
      <w:r w:rsidR="009B3306" w:rsidRPr="00B92FFC">
        <w:rPr>
          <w:rFonts w:cstheme="minorHAnsi"/>
        </w:rPr>
        <w:t>Gidon</w:t>
      </w:r>
      <w:proofErr w:type="spellEnd"/>
      <w:r w:rsidR="009B3306" w:rsidRPr="00B92FFC">
        <w:rPr>
          <w:rFonts w:cstheme="minorHAnsi"/>
        </w:rPr>
        <w:t xml:space="preserve"> </w:t>
      </w:r>
      <w:proofErr w:type="spellStart"/>
      <w:r w:rsidR="009B3306" w:rsidRPr="00B92FFC">
        <w:rPr>
          <w:rFonts w:cstheme="minorHAnsi"/>
        </w:rPr>
        <w:t>Kremer</w:t>
      </w:r>
      <w:proofErr w:type="spellEnd"/>
      <w:r w:rsidR="009B3306" w:rsidRPr="00B92FFC">
        <w:rPr>
          <w:rFonts w:cstheme="minorHAnsi"/>
        </w:rPr>
        <w:t xml:space="preserve"> či violoncellist</w:t>
      </w:r>
      <w:r w:rsidR="009B3306">
        <w:rPr>
          <w:rFonts w:cstheme="minorHAnsi"/>
        </w:rPr>
        <w:t>a</w:t>
      </w:r>
      <w:r w:rsidR="009B3306" w:rsidRPr="00B92FFC">
        <w:rPr>
          <w:rFonts w:cstheme="minorHAnsi"/>
        </w:rPr>
        <w:t xml:space="preserve"> Pierr</w:t>
      </w:r>
      <w:r w:rsidR="009B3306">
        <w:rPr>
          <w:rFonts w:cstheme="minorHAnsi"/>
        </w:rPr>
        <w:t>e</w:t>
      </w:r>
      <w:r w:rsidR="009B3306" w:rsidRPr="00B92FFC">
        <w:rPr>
          <w:rFonts w:cstheme="minorHAnsi"/>
        </w:rPr>
        <w:t xml:space="preserve"> </w:t>
      </w:r>
      <w:proofErr w:type="spellStart"/>
      <w:r w:rsidR="009B3306" w:rsidRPr="00B92FFC">
        <w:rPr>
          <w:rFonts w:cstheme="minorHAnsi"/>
        </w:rPr>
        <w:t>Fournier</w:t>
      </w:r>
      <w:proofErr w:type="spellEnd"/>
      <w:r w:rsidR="007D3869" w:rsidRPr="001C6582">
        <w:t xml:space="preserve">. </w:t>
      </w:r>
      <w:r w:rsidR="009B3306" w:rsidRPr="00B92FFC">
        <w:rPr>
          <w:rFonts w:cstheme="minorHAnsi"/>
        </w:rPr>
        <w:t>Za dobu své existence si vytvořila mimořádně rozsáhlý a rozmanitý repertoár. Věnuje se především velkým tvůrcům světové hudby 19. a 20. století, propaguje však i soudobou českou a světovou hudební tvorbu, o</w:t>
      </w:r>
      <w:r w:rsidR="009B3306">
        <w:rPr>
          <w:rFonts w:cstheme="minorHAnsi"/>
        </w:rPr>
        <w:t> </w:t>
      </w:r>
      <w:r w:rsidR="009B3306" w:rsidRPr="00B92FFC">
        <w:rPr>
          <w:rFonts w:cstheme="minorHAnsi"/>
        </w:rPr>
        <w:t xml:space="preserve">čemž </w:t>
      </w:r>
      <w:proofErr w:type="gramStart"/>
      <w:r w:rsidR="009B3306" w:rsidRPr="00B92FFC">
        <w:rPr>
          <w:rFonts w:cstheme="minorHAnsi"/>
        </w:rPr>
        <w:t>svědčí</w:t>
      </w:r>
      <w:proofErr w:type="gramEnd"/>
      <w:r w:rsidR="009B3306" w:rsidRPr="00B92FFC">
        <w:rPr>
          <w:rFonts w:cstheme="minorHAnsi"/>
        </w:rPr>
        <w:t xml:space="preserve"> uvedení více než 250 novinek. Orchestr se rovněž řadí k autentickým interpretům klasiků české národní hudební kultury: Antonína Dvořáka, Bedřich</w:t>
      </w:r>
      <w:r w:rsidR="00591CA1">
        <w:rPr>
          <w:rFonts w:cstheme="minorHAnsi"/>
        </w:rPr>
        <w:t>a</w:t>
      </w:r>
      <w:r w:rsidR="009B3306" w:rsidRPr="00B92FFC">
        <w:rPr>
          <w:rFonts w:cstheme="minorHAnsi"/>
        </w:rPr>
        <w:t xml:space="preserve"> Smetany, Leoše Janáčka a Bohuslava Martinů.</w:t>
      </w:r>
      <w:r w:rsidR="009B3306">
        <w:rPr>
          <w:rFonts w:cstheme="minorHAnsi"/>
        </w:rPr>
        <w:t xml:space="preserve"> Těleso má</w:t>
      </w:r>
      <w:r w:rsidR="009B3306" w:rsidRPr="00B92FFC">
        <w:rPr>
          <w:rFonts w:cstheme="minorHAnsi"/>
        </w:rPr>
        <w:t xml:space="preserve"> bohatou diskografii a vystupuje na významných mezinárodních hudebních festivalech doma i v zahraničí. Především je ale kulturní institucí, která se zásadní měrou podílí na organizaci uměleckého a koncertního života v Olomouci a</w:t>
      </w:r>
      <w:r w:rsidR="009B3306">
        <w:rPr>
          <w:rFonts w:cstheme="minorHAnsi"/>
        </w:rPr>
        <w:t> </w:t>
      </w:r>
      <w:r w:rsidR="009B3306" w:rsidRPr="00B92FFC">
        <w:rPr>
          <w:rFonts w:cstheme="minorHAnsi"/>
        </w:rPr>
        <w:t>okolí.</w:t>
      </w:r>
      <w:r w:rsidR="009B3306">
        <w:rPr>
          <w:rFonts w:cstheme="minorHAnsi"/>
        </w:rPr>
        <w:t xml:space="preserve"> </w:t>
      </w:r>
      <w:r w:rsidR="007D3869" w:rsidRPr="001C6582">
        <w:t xml:space="preserve">Pořádá festivaly Dvořákova Olomouc a Mezinárodní varhanní festival Olomouc. Mezi její činnosti </w:t>
      </w:r>
      <w:proofErr w:type="gramStart"/>
      <w:r w:rsidR="007D3869" w:rsidRPr="001C6582">
        <w:t>patří</w:t>
      </w:r>
      <w:proofErr w:type="gramEnd"/>
      <w:r w:rsidR="007D3869" w:rsidRPr="001C6582">
        <w:t xml:space="preserve"> také řada vzdělávacích aktivit pro děti a mladé lidi</w:t>
      </w:r>
      <w:r w:rsidR="009B3306">
        <w:t>.</w:t>
      </w:r>
    </w:p>
    <w:sectPr w:rsidR="009B3306" w:rsidRPr="001C6582" w:rsidSect="001D11B3">
      <w:footerReference w:type="default" r:id="rId10"/>
      <w:headerReference w:type="first" r:id="rId11"/>
      <w:footerReference w:type="first" r:id="rId12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13624" w14:textId="77777777" w:rsidR="002A2B9F" w:rsidRDefault="002A2B9F" w:rsidP="00C42D0D">
      <w:pPr>
        <w:spacing w:after="0" w:line="240" w:lineRule="auto"/>
      </w:pPr>
      <w:r>
        <w:separator/>
      </w:r>
    </w:p>
  </w:endnote>
  <w:endnote w:type="continuationSeparator" w:id="0">
    <w:p w14:paraId="06CE1234" w14:textId="77777777" w:rsidR="002A2B9F" w:rsidRDefault="002A2B9F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BD8B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 w:rsidR="008337D8">
      <w:rPr>
        <w:noProof/>
      </w:rPr>
      <w:t>2</w:t>
    </w:r>
    <w:r>
      <w:fldChar w:fldCharType="end"/>
    </w:r>
    <w:r>
      <w:t>/</w:t>
    </w:r>
    <w:fldSimple w:instr=" NUMPAGES   \* MERGEFORMAT ">
      <w:r w:rsidR="008337D8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C121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 w:rsidR="008337D8">
      <w:rPr>
        <w:noProof/>
      </w:rPr>
      <w:t>1</w:t>
    </w:r>
    <w:r>
      <w:fldChar w:fldCharType="end"/>
    </w:r>
    <w:r w:rsidRPr="005B282A">
      <w:t>/</w:t>
    </w:r>
    <w:fldSimple w:instr=" NUMPAGES   \* MERGEFORMAT ">
      <w:r w:rsidR="008337D8">
        <w:rPr>
          <w:noProof/>
        </w:rPr>
        <w:t>2</w:t>
      </w:r>
    </w:fldSimple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0199908" wp14:editId="611096BB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736112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695FC0E9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19788E87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41008964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4CA38B95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392EAD32" w14:textId="77777777" w:rsidR="005B282A" w:rsidRPr="005B282A" w:rsidRDefault="0000000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99908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54736112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695FC0E9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19788E87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41008964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4CA38B95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392EAD32" w14:textId="77777777" w:rsidR="005B282A" w:rsidRPr="005B282A" w:rsidRDefault="0000000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8048" w14:textId="77777777" w:rsidR="002A2B9F" w:rsidRDefault="002A2B9F" w:rsidP="00C42D0D">
      <w:pPr>
        <w:spacing w:after="0" w:line="240" w:lineRule="auto"/>
      </w:pPr>
      <w:r>
        <w:separator/>
      </w:r>
    </w:p>
  </w:footnote>
  <w:footnote w:type="continuationSeparator" w:id="0">
    <w:p w14:paraId="60448A6E" w14:textId="77777777" w:rsidR="002A2B9F" w:rsidRDefault="002A2B9F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B4B5" w14:textId="77777777" w:rsidR="005B282A" w:rsidRDefault="009D3EEF" w:rsidP="00F674F5">
    <w:pPr>
      <w:pStyle w:val="Zhlav"/>
      <w:spacing w:after="1680"/>
    </w:pPr>
    <w:r>
      <w:rPr>
        <w:noProof/>
        <w:lang w:eastAsia="cs-CZ"/>
      </w:rPr>
      <w:drawing>
        <wp:anchor distT="0" distB="0" distL="114300" distR="114300" simplePos="0" relativeHeight="251668991" behindDoc="0" locked="1" layoutInCell="1" allowOverlap="1" wp14:anchorId="7A067C6D" wp14:editId="65E04D58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69040A99" wp14:editId="5B17836B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482974">
    <w:abstractNumId w:val="8"/>
  </w:num>
  <w:num w:numId="2" w16cid:durableId="1339234528">
    <w:abstractNumId w:val="3"/>
  </w:num>
  <w:num w:numId="3" w16cid:durableId="109668545">
    <w:abstractNumId w:val="2"/>
  </w:num>
  <w:num w:numId="4" w16cid:durableId="390233184">
    <w:abstractNumId w:val="1"/>
  </w:num>
  <w:num w:numId="5" w16cid:durableId="1000230990">
    <w:abstractNumId w:val="0"/>
  </w:num>
  <w:num w:numId="6" w16cid:durableId="884371424">
    <w:abstractNumId w:val="9"/>
  </w:num>
  <w:num w:numId="7" w16cid:durableId="1299145842">
    <w:abstractNumId w:val="7"/>
  </w:num>
  <w:num w:numId="8" w16cid:durableId="712660989">
    <w:abstractNumId w:val="6"/>
  </w:num>
  <w:num w:numId="9" w16cid:durableId="32731782">
    <w:abstractNumId w:val="5"/>
  </w:num>
  <w:num w:numId="10" w16cid:durableId="1381898742">
    <w:abstractNumId w:val="4"/>
  </w:num>
  <w:num w:numId="11" w16cid:durableId="16132013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E0"/>
    <w:rsid w:val="00000ACA"/>
    <w:rsid w:val="00004F82"/>
    <w:rsid w:val="00027C3C"/>
    <w:rsid w:val="00035154"/>
    <w:rsid w:val="00062B27"/>
    <w:rsid w:val="00063C7C"/>
    <w:rsid w:val="000841CF"/>
    <w:rsid w:val="0008640B"/>
    <w:rsid w:val="000A260F"/>
    <w:rsid w:val="000B2026"/>
    <w:rsid w:val="000C0162"/>
    <w:rsid w:val="000C0995"/>
    <w:rsid w:val="000C1735"/>
    <w:rsid w:val="000E63E7"/>
    <w:rsid w:val="000E7BBC"/>
    <w:rsid w:val="000F0ABC"/>
    <w:rsid w:val="000F31EC"/>
    <w:rsid w:val="00100276"/>
    <w:rsid w:val="001036BA"/>
    <w:rsid w:val="00114193"/>
    <w:rsid w:val="00122354"/>
    <w:rsid w:val="0012434F"/>
    <w:rsid w:val="001274DB"/>
    <w:rsid w:val="00131DAC"/>
    <w:rsid w:val="00133B38"/>
    <w:rsid w:val="00133FBD"/>
    <w:rsid w:val="00134588"/>
    <w:rsid w:val="0014042C"/>
    <w:rsid w:val="00161830"/>
    <w:rsid w:val="001747EC"/>
    <w:rsid w:val="0018040B"/>
    <w:rsid w:val="00185AA8"/>
    <w:rsid w:val="001A1C6F"/>
    <w:rsid w:val="001A654E"/>
    <w:rsid w:val="001A7487"/>
    <w:rsid w:val="001B2AA1"/>
    <w:rsid w:val="001B2DD2"/>
    <w:rsid w:val="001B7B29"/>
    <w:rsid w:val="001C6582"/>
    <w:rsid w:val="001D11B3"/>
    <w:rsid w:val="001E3018"/>
    <w:rsid w:val="001E6301"/>
    <w:rsid w:val="001E6759"/>
    <w:rsid w:val="001F6D05"/>
    <w:rsid w:val="002033C8"/>
    <w:rsid w:val="00216891"/>
    <w:rsid w:val="002247BE"/>
    <w:rsid w:val="00236472"/>
    <w:rsid w:val="002369D0"/>
    <w:rsid w:val="00261CF1"/>
    <w:rsid w:val="002763D2"/>
    <w:rsid w:val="002927E6"/>
    <w:rsid w:val="002937F8"/>
    <w:rsid w:val="00294DF7"/>
    <w:rsid w:val="002A12F2"/>
    <w:rsid w:val="002A2B9F"/>
    <w:rsid w:val="002A4C0B"/>
    <w:rsid w:val="002C2AED"/>
    <w:rsid w:val="002C6530"/>
    <w:rsid w:val="002D1016"/>
    <w:rsid w:val="002D247A"/>
    <w:rsid w:val="002D4764"/>
    <w:rsid w:val="002F39B1"/>
    <w:rsid w:val="002F5FC7"/>
    <w:rsid w:val="00304DF8"/>
    <w:rsid w:val="003067F9"/>
    <w:rsid w:val="003102DA"/>
    <w:rsid w:val="00322380"/>
    <w:rsid w:val="003337C2"/>
    <w:rsid w:val="00360E9B"/>
    <w:rsid w:val="0036745E"/>
    <w:rsid w:val="003721A1"/>
    <w:rsid w:val="003921AB"/>
    <w:rsid w:val="003F0F53"/>
    <w:rsid w:val="00412B24"/>
    <w:rsid w:val="004141CE"/>
    <w:rsid w:val="00426451"/>
    <w:rsid w:val="00455EB1"/>
    <w:rsid w:val="00460C3B"/>
    <w:rsid w:val="00473B92"/>
    <w:rsid w:val="004838B5"/>
    <w:rsid w:val="00493854"/>
    <w:rsid w:val="0049461A"/>
    <w:rsid w:val="00497CA6"/>
    <w:rsid w:val="004A456E"/>
    <w:rsid w:val="004C00D6"/>
    <w:rsid w:val="004C74B4"/>
    <w:rsid w:val="004E27E5"/>
    <w:rsid w:val="004E3036"/>
    <w:rsid w:val="004E66E0"/>
    <w:rsid w:val="004F77FC"/>
    <w:rsid w:val="005306F4"/>
    <w:rsid w:val="005317D5"/>
    <w:rsid w:val="00550CA3"/>
    <w:rsid w:val="005568BA"/>
    <w:rsid w:val="00563917"/>
    <w:rsid w:val="0057754B"/>
    <w:rsid w:val="005855C1"/>
    <w:rsid w:val="00591CA1"/>
    <w:rsid w:val="005A2C5A"/>
    <w:rsid w:val="005B282A"/>
    <w:rsid w:val="005C3BD0"/>
    <w:rsid w:val="005D619B"/>
    <w:rsid w:val="005E0940"/>
    <w:rsid w:val="005E1B67"/>
    <w:rsid w:val="00611DAD"/>
    <w:rsid w:val="0061503C"/>
    <w:rsid w:val="00626B6F"/>
    <w:rsid w:val="00654AAB"/>
    <w:rsid w:val="00667CE8"/>
    <w:rsid w:val="006779F4"/>
    <w:rsid w:val="00687389"/>
    <w:rsid w:val="00692182"/>
    <w:rsid w:val="00696973"/>
    <w:rsid w:val="006A7064"/>
    <w:rsid w:val="006C5061"/>
    <w:rsid w:val="006C6539"/>
    <w:rsid w:val="006F06E3"/>
    <w:rsid w:val="006F127A"/>
    <w:rsid w:val="007063EC"/>
    <w:rsid w:val="00731350"/>
    <w:rsid w:val="007333EA"/>
    <w:rsid w:val="00734E19"/>
    <w:rsid w:val="0075725F"/>
    <w:rsid w:val="007577FA"/>
    <w:rsid w:val="00765EE9"/>
    <w:rsid w:val="00775429"/>
    <w:rsid w:val="0079665B"/>
    <w:rsid w:val="007976CB"/>
    <w:rsid w:val="007A08B9"/>
    <w:rsid w:val="007C59F5"/>
    <w:rsid w:val="007D3869"/>
    <w:rsid w:val="007D3C8F"/>
    <w:rsid w:val="00817016"/>
    <w:rsid w:val="008337D8"/>
    <w:rsid w:val="008377A8"/>
    <w:rsid w:val="0084660E"/>
    <w:rsid w:val="00847A14"/>
    <w:rsid w:val="00851077"/>
    <w:rsid w:val="00855023"/>
    <w:rsid w:val="0085751F"/>
    <w:rsid w:val="00876D7F"/>
    <w:rsid w:val="00880D8C"/>
    <w:rsid w:val="008A5898"/>
    <w:rsid w:val="008A75EB"/>
    <w:rsid w:val="008B3A7E"/>
    <w:rsid w:val="008C3234"/>
    <w:rsid w:val="009613DB"/>
    <w:rsid w:val="0096165C"/>
    <w:rsid w:val="009620F1"/>
    <w:rsid w:val="00966773"/>
    <w:rsid w:val="00990052"/>
    <w:rsid w:val="009A00E9"/>
    <w:rsid w:val="009B3306"/>
    <w:rsid w:val="009C7744"/>
    <w:rsid w:val="009D3EEF"/>
    <w:rsid w:val="009E0E0B"/>
    <w:rsid w:val="009E1A52"/>
    <w:rsid w:val="009E1D50"/>
    <w:rsid w:val="009E3000"/>
    <w:rsid w:val="00A029C1"/>
    <w:rsid w:val="00A04F6C"/>
    <w:rsid w:val="00A25FA3"/>
    <w:rsid w:val="00A409D3"/>
    <w:rsid w:val="00A41AB5"/>
    <w:rsid w:val="00A50F24"/>
    <w:rsid w:val="00A62B4D"/>
    <w:rsid w:val="00A65398"/>
    <w:rsid w:val="00A97C01"/>
    <w:rsid w:val="00AA71B7"/>
    <w:rsid w:val="00AA74E4"/>
    <w:rsid w:val="00AB2726"/>
    <w:rsid w:val="00AC0C6B"/>
    <w:rsid w:val="00AC7893"/>
    <w:rsid w:val="00AD0FC4"/>
    <w:rsid w:val="00AE0DDC"/>
    <w:rsid w:val="00AF2F27"/>
    <w:rsid w:val="00B105CF"/>
    <w:rsid w:val="00B47C6B"/>
    <w:rsid w:val="00B673C4"/>
    <w:rsid w:val="00B73244"/>
    <w:rsid w:val="00B84185"/>
    <w:rsid w:val="00B842F2"/>
    <w:rsid w:val="00B91CFB"/>
    <w:rsid w:val="00B97A8F"/>
    <w:rsid w:val="00BA4BBC"/>
    <w:rsid w:val="00BA7914"/>
    <w:rsid w:val="00BB733E"/>
    <w:rsid w:val="00BD4CAA"/>
    <w:rsid w:val="00BD4E95"/>
    <w:rsid w:val="00BF20F7"/>
    <w:rsid w:val="00C324B1"/>
    <w:rsid w:val="00C35FC2"/>
    <w:rsid w:val="00C35FC3"/>
    <w:rsid w:val="00C42D0D"/>
    <w:rsid w:val="00C50C9C"/>
    <w:rsid w:val="00C63318"/>
    <w:rsid w:val="00C93A6A"/>
    <w:rsid w:val="00C95011"/>
    <w:rsid w:val="00CA0179"/>
    <w:rsid w:val="00CA3CE9"/>
    <w:rsid w:val="00CA6307"/>
    <w:rsid w:val="00CB46E6"/>
    <w:rsid w:val="00CC0D6E"/>
    <w:rsid w:val="00CC1381"/>
    <w:rsid w:val="00CC2B63"/>
    <w:rsid w:val="00CC4EE5"/>
    <w:rsid w:val="00CE38AB"/>
    <w:rsid w:val="00CE6B77"/>
    <w:rsid w:val="00CE7D1B"/>
    <w:rsid w:val="00CF4A18"/>
    <w:rsid w:val="00D01AB2"/>
    <w:rsid w:val="00D02FA4"/>
    <w:rsid w:val="00D03692"/>
    <w:rsid w:val="00D15103"/>
    <w:rsid w:val="00D2104E"/>
    <w:rsid w:val="00D61761"/>
    <w:rsid w:val="00D74F2D"/>
    <w:rsid w:val="00D9073E"/>
    <w:rsid w:val="00D921A4"/>
    <w:rsid w:val="00DA2938"/>
    <w:rsid w:val="00DB4479"/>
    <w:rsid w:val="00DE01F9"/>
    <w:rsid w:val="00DE3FB3"/>
    <w:rsid w:val="00E03418"/>
    <w:rsid w:val="00E1358C"/>
    <w:rsid w:val="00E142FE"/>
    <w:rsid w:val="00E2455E"/>
    <w:rsid w:val="00E31003"/>
    <w:rsid w:val="00E32C56"/>
    <w:rsid w:val="00E350F7"/>
    <w:rsid w:val="00E401B2"/>
    <w:rsid w:val="00E6215C"/>
    <w:rsid w:val="00E86FB5"/>
    <w:rsid w:val="00E91116"/>
    <w:rsid w:val="00E91394"/>
    <w:rsid w:val="00EB62D2"/>
    <w:rsid w:val="00EB7128"/>
    <w:rsid w:val="00EB7694"/>
    <w:rsid w:val="00ED337F"/>
    <w:rsid w:val="00ED4FEF"/>
    <w:rsid w:val="00EE051C"/>
    <w:rsid w:val="00EE7C95"/>
    <w:rsid w:val="00EF1F9F"/>
    <w:rsid w:val="00EF2652"/>
    <w:rsid w:val="00EF27A9"/>
    <w:rsid w:val="00EF57EB"/>
    <w:rsid w:val="00F050EF"/>
    <w:rsid w:val="00F056AF"/>
    <w:rsid w:val="00F17336"/>
    <w:rsid w:val="00F24036"/>
    <w:rsid w:val="00F32538"/>
    <w:rsid w:val="00F36257"/>
    <w:rsid w:val="00F3739E"/>
    <w:rsid w:val="00F4383E"/>
    <w:rsid w:val="00F52841"/>
    <w:rsid w:val="00F55FC7"/>
    <w:rsid w:val="00F5669F"/>
    <w:rsid w:val="00F57FC8"/>
    <w:rsid w:val="00F674F5"/>
    <w:rsid w:val="00F7059B"/>
    <w:rsid w:val="00F736D6"/>
    <w:rsid w:val="00F82F28"/>
    <w:rsid w:val="00F92A6A"/>
    <w:rsid w:val="00FB0ABE"/>
    <w:rsid w:val="00FC458C"/>
    <w:rsid w:val="00FD48A4"/>
    <w:rsid w:val="00FE3804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9D347"/>
  <w14:defaultImageDpi w14:val="330"/>
  <w15:docId w15:val="{30DADF2E-065C-4458-B2C7-9A5D342F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EF2652"/>
    <w:rPr>
      <w:color w:val="575656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00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02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02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2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027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550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5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o.cz/promedi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mfo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harman\Desktop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BBBC1-3BB4-4975-B697-EE3ACCAF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0</TotalTime>
  <Pages>2</Pages>
  <Words>773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creator>Jonáš Harman</dc:creator>
  <cp:lastModifiedBy>Mgr. Kamila Sehnálková</cp:lastModifiedBy>
  <cp:revision>2</cp:revision>
  <cp:lastPrinted>2023-11-16T14:39:00Z</cp:lastPrinted>
  <dcterms:created xsi:type="dcterms:W3CDTF">2023-12-07T10:53:00Z</dcterms:created>
  <dcterms:modified xsi:type="dcterms:W3CDTF">2023-12-07T10:53:00Z</dcterms:modified>
  <cp:category>Tisková zpráva</cp:category>
</cp:coreProperties>
</file>